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F52AB" w:rsidR="00B28847" w:rsidP="00FF52AB" w:rsidRDefault="00B28847" w14:paraId="58D7D217" w14:textId="4F646088">
      <w:pPr>
        <w:spacing w:after="0" w:line="240" w:lineRule="auto"/>
        <w:rPr>
          <w:rFonts w:ascii="Arial" w:hAnsi="Arial" w:eastAsia="Arial" w:cs="Arial"/>
          <w:color w:val="FF0000"/>
          <w:sz w:val="19"/>
          <w:szCs w:val="19"/>
        </w:rPr>
      </w:pPr>
      <w:r w:rsidRPr="43B2EA40" w:rsidR="00B28847">
        <w:rPr>
          <w:rFonts w:ascii="Arial" w:hAnsi="Arial" w:eastAsia="Arial" w:cs="Arial"/>
          <w:b w:val="1"/>
          <w:bCs w:val="1"/>
          <w:color w:val="000000" w:themeColor="text1" w:themeTint="FF" w:themeShade="FF"/>
          <w:sz w:val="19"/>
          <w:szCs w:val="19"/>
        </w:rPr>
        <w:t>Danmarks Medie- og Journalisthøjskole</w:t>
      </w:r>
      <w:r>
        <w:br/>
      </w:r>
      <w:r w:rsidRPr="43B2EA40" w:rsidR="00B28847">
        <w:rPr>
          <w:rFonts w:ascii="Arial" w:hAnsi="Arial" w:eastAsia="Arial" w:cs="Arial"/>
          <w:b w:val="1"/>
          <w:bCs w:val="1"/>
          <w:color w:val="000000" w:themeColor="text1" w:themeTint="FF" w:themeShade="FF"/>
          <w:sz w:val="19"/>
          <w:szCs w:val="19"/>
        </w:rPr>
        <w:t>Journalistuddannelsen</w:t>
      </w:r>
      <w:r>
        <w:br/>
      </w:r>
      <w:r w:rsidRPr="43B2EA40" w:rsidR="00B28847">
        <w:rPr>
          <w:rFonts w:ascii="Arial" w:hAnsi="Arial" w:eastAsia="Arial" w:cs="Arial"/>
          <w:b w:val="1"/>
          <w:bCs w:val="1"/>
          <w:color w:val="000000" w:themeColor="text1" w:themeTint="FF" w:themeShade="FF"/>
          <w:sz w:val="19"/>
          <w:szCs w:val="19"/>
        </w:rPr>
        <w:t>Fagbeskrivelse</w:t>
      </w:r>
      <w:r>
        <w:br/>
      </w:r>
      <w:r w:rsidRPr="43B2EA40" w:rsidR="258DA8E8">
        <w:rPr>
          <w:rFonts w:ascii="Arial" w:hAnsi="Arial" w:eastAsia="Arial" w:cs="Arial"/>
          <w:b w:val="1"/>
          <w:bCs w:val="1"/>
          <w:color w:val="000000" w:themeColor="text1" w:themeTint="FF" w:themeShade="FF"/>
          <w:sz w:val="19"/>
          <w:szCs w:val="19"/>
        </w:rPr>
        <w:t>Efter</w:t>
      </w:r>
      <w:r w:rsidRPr="43B2EA40" w:rsidR="00B28847">
        <w:rPr>
          <w:rFonts w:ascii="Arial" w:hAnsi="Arial" w:eastAsia="Arial" w:cs="Arial"/>
          <w:b w:val="1"/>
          <w:bCs w:val="1"/>
          <w:color w:val="000000" w:themeColor="text1" w:themeTint="FF" w:themeShade="FF"/>
          <w:sz w:val="19"/>
          <w:szCs w:val="19"/>
        </w:rPr>
        <w:t>år</w:t>
      </w:r>
      <w:r w:rsidRPr="43B2EA40" w:rsidR="00FF52AB">
        <w:rPr>
          <w:rFonts w:ascii="Arial" w:hAnsi="Arial" w:eastAsia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 </w:t>
      </w:r>
      <w:r w:rsidRPr="43B2EA40" w:rsidR="00B28847">
        <w:rPr>
          <w:rFonts w:ascii="Arial" w:hAnsi="Arial" w:eastAsia="Arial" w:cs="Arial"/>
          <w:b w:val="1"/>
          <w:bCs w:val="1"/>
          <w:color w:val="000000" w:themeColor="text1" w:themeTint="FF" w:themeShade="FF"/>
          <w:sz w:val="19"/>
          <w:szCs w:val="19"/>
        </w:rPr>
        <w:t>202</w:t>
      </w:r>
      <w:r w:rsidRPr="43B2EA40" w:rsidR="6AC9E3C3">
        <w:rPr>
          <w:rFonts w:ascii="Arial" w:hAnsi="Arial" w:eastAsia="Arial" w:cs="Arial"/>
          <w:b w:val="1"/>
          <w:bCs w:val="1"/>
          <w:color w:val="000000" w:themeColor="text1" w:themeTint="FF" w:themeShade="FF"/>
          <w:sz w:val="19"/>
          <w:szCs w:val="19"/>
        </w:rPr>
        <w:t>3</w:t>
      </w:r>
      <w:r w:rsidRPr="43B2EA40" w:rsidR="00B28847">
        <w:rPr>
          <w:rFonts w:ascii="Arial" w:hAnsi="Arial" w:eastAsia="Arial" w:cs="Arial"/>
          <w:b w:val="1"/>
          <w:bCs w:val="1"/>
          <w:color w:val="FF0000"/>
          <w:sz w:val="19"/>
          <w:szCs w:val="19"/>
        </w:rPr>
        <w:t xml:space="preserve"> </w:t>
      </w:r>
      <w:r>
        <w:br/>
      </w:r>
      <w:r w:rsidRPr="43B2EA40" w:rsidR="00B28847">
        <w:rPr>
          <w:rFonts w:ascii="Arial" w:hAnsi="Arial" w:eastAsia="Arial" w:cs="Arial"/>
          <w:b w:val="1"/>
          <w:bCs w:val="1"/>
          <w:sz w:val="19"/>
          <w:szCs w:val="19"/>
        </w:rPr>
        <w:t>Medieudvikling og praktik</w:t>
      </w:r>
    </w:p>
    <w:p w:rsidRPr="00FF52AB" w:rsidR="00B28847" w:rsidP="00FF52AB" w:rsidRDefault="00B28847" w14:paraId="70EE9020" w14:textId="310BB77B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  <w:r w:rsidRPr="00FF52AB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>4. semester</w:t>
      </w:r>
    </w:p>
    <w:p w:rsidRPr="00FF52AB" w:rsidR="00B28847" w:rsidP="00FF52AB" w:rsidRDefault="00B28847" w14:paraId="7F13F304" w14:textId="5F477D55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Pr="00FF52AB" w:rsidR="00B28847" w:rsidP="00FF52AB" w:rsidRDefault="00B28847" w14:paraId="49AA9EBC" w14:textId="0D3C0C49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  <w:r w:rsidRPr="00FF52AB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>Varighed:</w:t>
      </w:r>
      <w:r w:rsidRPr="00FF52AB">
        <w:rPr>
          <w:rFonts w:ascii="Arial" w:hAnsi="Arial" w:eastAsia="Arial" w:cs="Arial"/>
          <w:color w:val="000000" w:themeColor="text1"/>
          <w:sz w:val="19"/>
          <w:szCs w:val="19"/>
        </w:rPr>
        <w:t xml:space="preserve"> 10</w:t>
      </w:r>
      <w:r w:rsidRPr="00FF52AB">
        <w:rPr>
          <w:rFonts w:ascii="Arial" w:hAnsi="Arial" w:eastAsia="Arial" w:cs="Arial"/>
          <w:color w:val="FF0000"/>
          <w:sz w:val="19"/>
          <w:szCs w:val="19"/>
        </w:rPr>
        <w:t xml:space="preserve"> </w:t>
      </w:r>
      <w:r w:rsidRPr="00FF52AB">
        <w:rPr>
          <w:rFonts w:ascii="Arial" w:hAnsi="Arial" w:eastAsia="Arial" w:cs="Arial"/>
          <w:color w:val="000000" w:themeColor="text1"/>
          <w:sz w:val="19"/>
          <w:szCs w:val="19"/>
        </w:rPr>
        <w:t xml:space="preserve">ECTS </w:t>
      </w:r>
    </w:p>
    <w:p w:rsidRPr="00FF52AB" w:rsidR="00B28847" w:rsidP="00FF52AB" w:rsidRDefault="00B28847" w14:paraId="40BACEF2" w14:textId="27AB5EBC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Pr="00FF52AB" w:rsidR="00B28847" w:rsidP="00FF52AB" w:rsidRDefault="00B28847" w14:paraId="232ED8D9" w14:textId="787F3A30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  <w:r w:rsidRPr="00FF52AB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 xml:space="preserve">Formål: </w:t>
      </w:r>
    </w:p>
    <w:p w:rsidRPr="00FF52AB" w:rsidR="00FF52AB" w:rsidP="00FF52AB" w:rsidRDefault="00FF52AB" w14:paraId="24DE277A" w14:textId="4A3E0EB6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  <w:r w:rsidRPr="00FF52AB">
        <w:rPr>
          <w:rFonts w:ascii="Arial" w:hAnsi="Arial" w:eastAsia="Arial" w:cs="Arial"/>
          <w:color w:val="000000" w:themeColor="text1"/>
          <w:sz w:val="19"/>
          <w:szCs w:val="19"/>
        </w:rPr>
        <w:t>Faget er et led i et samlet forløb før-, under- og efter praktiktiden, der sikrer, at den studerende aktivt reflekterer over personlige læringsmål for praktikforløbet og får redskaber til at koble undervisningen på højskolen med læringen under praktikken.</w:t>
      </w:r>
    </w:p>
    <w:p w:rsidRPr="005C7422" w:rsidR="00B28847" w:rsidP="553A6581" w:rsidRDefault="00FF52AB" w14:paraId="79027FF4" w14:textId="5672CFFC">
      <w:pPr>
        <w:spacing w:after="0" w:line="240" w:lineRule="auto"/>
        <w:rPr>
          <w:rFonts w:ascii="Arial" w:hAnsi="Arial" w:eastAsia="" w:cs="Arial" w:eastAsiaTheme="minorEastAsia"/>
          <w:color w:val="000000" w:themeColor="text1"/>
          <w:sz w:val="19"/>
          <w:szCs w:val="19"/>
        </w:rPr>
      </w:pPr>
      <w:r w:rsidRPr="553A6581" w:rsidR="00FF52AB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Faget </w:t>
      </w:r>
      <w:r w:rsidRPr="553A6581" w:rsidR="7D3920C6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skal give den studerende øget kendskab til mediebranchens tilbliven og aktuelle </w:t>
      </w:r>
      <w:r w:rsidRPr="553A6581" w:rsidR="7D3920C6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tendenser. Den studerende skal endvidere stifte bekendtskab med konkrete metoder til at indhente viden om medier og analytiske redskaber til at kunne perspektivere disse indsigter.</w:t>
      </w:r>
      <w:r>
        <w:br/>
      </w:r>
      <w:r w:rsidRPr="553A6581" w:rsidR="005C7422">
        <w:rPr>
          <w:rFonts w:ascii="Arial" w:hAnsi="Arial" w:eastAsia="" w:cs="Arial" w:eastAsiaTheme="minorEastAsia"/>
          <w:color w:val="000000" w:themeColor="text1" w:themeTint="FF" w:themeShade="FF"/>
          <w:sz w:val="19"/>
          <w:szCs w:val="19"/>
        </w:rPr>
        <w:t xml:space="preserve">I faget indgår også et </w:t>
      </w:r>
      <w:r w:rsidRPr="553A6581" w:rsidR="005C7422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p</w:t>
      </w:r>
      <w:r w:rsidRPr="553A6581" w:rsidR="7D3920C6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raktiksøgningsforløb, som skal styrke den studerendes praktiksøgning og forberede den studerende på praktikforløbet med henblik på at kvalificere læringen i praktiktiden. </w:t>
      </w:r>
      <w:r>
        <w:br/>
      </w:r>
      <w:r w:rsidRPr="553A6581" w:rsidR="005C7422">
        <w:rPr>
          <w:rFonts w:ascii="Arial" w:hAnsi="Arial" w:eastAsia="" w:cs="Arial" w:eastAsiaTheme="minorEastAsia"/>
          <w:color w:val="000000" w:themeColor="text1" w:themeTint="FF" w:themeShade="FF"/>
          <w:sz w:val="19"/>
          <w:szCs w:val="19"/>
        </w:rPr>
        <w:t>Faget afsluttes med en opgav</w:t>
      </w:r>
      <w:r w:rsidRPr="553A6581" w:rsidR="7D3920C6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e, hvor læring, teori og metode fra </w:t>
      </w:r>
      <w:r w:rsidRPr="553A6581" w:rsidR="005C7422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undervisningen </w:t>
      </w:r>
      <w:r w:rsidRPr="553A6581" w:rsidR="7D3920C6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kobles sammen med det medie eller den mediekategori, hvor den studerende har fået praktikplads. </w:t>
      </w:r>
    </w:p>
    <w:p w:rsidRPr="00FF52AB" w:rsidR="00B28847" w:rsidP="00FF52AB" w:rsidRDefault="00B28847" w14:paraId="44F4AD59" w14:textId="14BB940F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Pr="00FF52AB" w:rsidR="00B28847" w:rsidP="00FF52AB" w:rsidRDefault="00B28847" w14:paraId="0F26D64F" w14:textId="65833E7C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  <w:r w:rsidRPr="00FF52AB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 xml:space="preserve">Pædagogisk og didaktisk tilgang: </w:t>
      </w:r>
    </w:p>
    <w:p w:rsidR="000C5551" w:rsidP="00FF52AB" w:rsidRDefault="00B28847" w14:paraId="64C5BA16" w14:textId="288BA05E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  <w:r w:rsidRPr="4EA85E95" w:rsidR="00B28847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Forløbet er en blanding af auditorieundervisning, læringsstier, øvelser, oplæg og debat med branchegæster. De studerende vil desuden give hinanden coaching</w:t>
      </w:r>
      <w:r w:rsidRPr="4EA85E95" w:rsidR="54F6A5BC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 og løse opgaver</w:t>
      </w:r>
      <w:r w:rsidRPr="4EA85E95" w:rsidR="00B28847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 i fastlagte grupper.</w:t>
      </w:r>
      <w:r w:rsidRPr="4EA85E95" w:rsidR="004E1A50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 Denne form er valgt, fordi </w:t>
      </w:r>
      <w:r w:rsidRPr="4EA85E95" w:rsidR="00456A19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den studerende </w:t>
      </w:r>
      <w:r w:rsidRPr="4EA85E95" w:rsidR="0040176E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løbende skal bearbejde den opnåede viden og </w:t>
      </w:r>
      <w:r w:rsidRPr="4EA85E95" w:rsidR="00CE78B7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bruge den som afsæt for praktiksøgning</w:t>
      </w:r>
      <w:r w:rsidRPr="4EA85E95" w:rsidR="000C5551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en</w:t>
      </w:r>
      <w:r w:rsidRPr="4EA85E95" w:rsidR="00F60892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 og (senere) i arbejdet som praktikant. </w:t>
      </w:r>
    </w:p>
    <w:p w:rsidRPr="00FF52AB" w:rsidR="00B28847" w:rsidP="00FF52AB" w:rsidRDefault="00B28847" w14:paraId="71CC00A4" w14:textId="0C3383C4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Pr="00FF52AB" w:rsidR="00B28847" w:rsidP="00FF52AB" w:rsidRDefault="00B28847" w14:paraId="040248C7" w14:textId="7AAA5260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  <w:r w:rsidRPr="00FF52AB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>Redskaber:</w:t>
      </w:r>
    </w:p>
    <w:p w:rsidRPr="00FF52AB" w:rsidR="00B28847" w:rsidP="00FF52AB" w:rsidRDefault="00B28847" w14:paraId="089F2A51" w14:textId="10030B3F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Pr="00FF52AB" w:rsidR="00B28847" w:rsidP="00FF52AB" w:rsidRDefault="00B28847" w14:paraId="59652C7D" w14:textId="0933076C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  <w:r w:rsidRPr="00FF52AB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>Læringsmål:</w:t>
      </w:r>
    </w:p>
    <w:p w:rsidRPr="00FF52AB" w:rsidR="00B28847" w:rsidP="00FF52AB" w:rsidRDefault="00B28847" w14:paraId="19F0B2AA" w14:textId="3D21BDE6">
      <w:pPr>
        <w:pStyle w:val="Normal1"/>
        <w:spacing w:after="0" w:line="240" w:lineRule="auto"/>
        <w:rPr>
          <w:sz w:val="19"/>
          <w:szCs w:val="19"/>
        </w:rPr>
      </w:pPr>
      <w:r w:rsidRPr="00FF52AB">
        <w:rPr>
          <w:sz w:val="19"/>
          <w:szCs w:val="19"/>
        </w:rPr>
        <w:t>De studerende skal opnå viden om:</w:t>
      </w:r>
    </w:p>
    <w:p w:rsidRPr="00985DAE" w:rsidR="005C7422" w:rsidP="005C7422" w:rsidRDefault="7D3920C6" w14:paraId="102ACF8E" w14:textId="77777777">
      <w:pPr>
        <w:pStyle w:val="Normal1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985DAE">
        <w:rPr>
          <w:sz w:val="19"/>
          <w:szCs w:val="19"/>
        </w:rPr>
        <w:t>Mediehistorie og tendenser</w:t>
      </w:r>
    </w:p>
    <w:p w:rsidRPr="00985DAE" w:rsidR="005C7422" w:rsidP="005C7422" w:rsidRDefault="7D3920C6" w14:paraId="61BB899E" w14:textId="77777777">
      <w:pPr>
        <w:pStyle w:val="Normal1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985DAE">
        <w:rPr>
          <w:sz w:val="19"/>
          <w:szCs w:val="19"/>
        </w:rPr>
        <w:t>Mediernes økonomi og forretningsmodeller</w:t>
      </w:r>
    </w:p>
    <w:p w:rsidRPr="00985DAE" w:rsidR="7D3920C6" w:rsidP="005C7422" w:rsidRDefault="7D3920C6" w14:paraId="1B3FEA82" w14:textId="18CF3F49">
      <w:pPr>
        <w:pStyle w:val="Normal1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985DAE">
        <w:rPr>
          <w:sz w:val="19"/>
          <w:szCs w:val="19"/>
        </w:rPr>
        <w:t xml:space="preserve">Indsamling- og anvendelse af data om mediebrugerne. </w:t>
      </w:r>
    </w:p>
    <w:p w:rsidRPr="00985DAE" w:rsidR="00B28847" w:rsidP="00FF52AB" w:rsidRDefault="00B28847" w14:paraId="37C6B06D" w14:textId="64537C45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Pr="00985DAE" w:rsidR="00B28847" w:rsidP="00FF52AB" w:rsidRDefault="00B28847" w14:paraId="07A7E363" w14:textId="478AAA47">
      <w:pPr>
        <w:pStyle w:val="Normal1"/>
        <w:spacing w:after="0" w:line="240" w:lineRule="auto"/>
        <w:rPr>
          <w:sz w:val="19"/>
          <w:szCs w:val="19"/>
        </w:rPr>
      </w:pPr>
      <w:r w:rsidRPr="00985DAE">
        <w:rPr>
          <w:sz w:val="19"/>
          <w:szCs w:val="19"/>
        </w:rPr>
        <w:t>De studerende skal opnå færdigheder i:</w:t>
      </w:r>
    </w:p>
    <w:p w:rsidRPr="00985DAE" w:rsidR="3D5096D7" w:rsidP="005C7422" w:rsidRDefault="3D5096D7" w14:paraId="27674259" w14:textId="280B2007">
      <w:pPr>
        <w:pStyle w:val="Normal1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985DAE">
        <w:rPr>
          <w:sz w:val="19"/>
          <w:szCs w:val="19"/>
        </w:rPr>
        <w:t xml:space="preserve">At indsamle viden om- og forholde sig kritisk til medierne. </w:t>
      </w:r>
    </w:p>
    <w:p w:rsidRPr="00985DAE" w:rsidR="00B28847" w:rsidP="00FF52AB" w:rsidRDefault="00B28847" w14:paraId="0F513192" w14:textId="0D271471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Pr="00985DAE" w:rsidR="00B28847" w:rsidP="00FF52AB" w:rsidRDefault="00B28847" w14:paraId="4F948BDF" w14:textId="28B51212">
      <w:pPr>
        <w:pStyle w:val="Normal1"/>
        <w:spacing w:after="0" w:line="240" w:lineRule="auto"/>
        <w:rPr>
          <w:sz w:val="19"/>
          <w:szCs w:val="19"/>
        </w:rPr>
      </w:pPr>
      <w:r w:rsidRPr="00985DAE">
        <w:rPr>
          <w:sz w:val="19"/>
          <w:szCs w:val="19"/>
        </w:rPr>
        <w:t xml:space="preserve">De studerende skal opnå kompetencer indenfor det at: </w:t>
      </w:r>
    </w:p>
    <w:p w:rsidRPr="00985DAE" w:rsidR="00B28847" w:rsidP="005C7422" w:rsidRDefault="00B28847" w14:paraId="41286171" w14:textId="4487B8FA">
      <w:pPr>
        <w:pStyle w:val="Normal1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985DAE">
        <w:rPr>
          <w:sz w:val="19"/>
          <w:szCs w:val="19"/>
        </w:rPr>
        <w:t xml:space="preserve">Forstå- og indtage deres plads i mediebranchen. </w:t>
      </w:r>
    </w:p>
    <w:p w:rsidRPr="00FF52AB" w:rsidR="00B28847" w:rsidP="00FF52AB" w:rsidRDefault="00B28847" w14:paraId="3524A8C2" w14:textId="64CADD98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Pr="00FF52AB" w:rsidR="00B28847" w:rsidP="00FF52AB" w:rsidRDefault="00B28847" w14:paraId="515E2160" w14:textId="7A5673A3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  <w:r w:rsidRPr="00FF52AB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>L</w:t>
      </w:r>
      <w:r w:rsidRPr="00FF52AB">
        <w:rPr>
          <w:rFonts w:ascii="Arial" w:hAnsi="Arial" w:eastAsia="Segoe UI" w:cs="Arial"/>
          <w:b/>
          <w:bCs/>
          <w:color w:val="000000" w:themeColor="text1"/>
          <w:sz w:val="19"/>
          <w:szCs w:val="19"/>
        </w:rPr>
        <w:t>æremidler</w:t>
      </w:r>
      <w:r w:rsidRPr="00FF52AB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>:</w:t>
      </w:r>
    </w:p>
    <w:p w:rsidRPr="00FF52AB" w:rsidR="00B28847" w:rsidP="00FF52AB" w:rsidRDefault="00B28847" w14:paraId="09BB1144" w14:textId="27D0AD5F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Pr="00FF31CD" w:rsidR="00B28847" w:rsidP="00FF52AB" w:rsidRDefault="00B28847" w14:paraId="7FE60928" w14:textId="58C2842E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  <w:r w:rsidRPr="39DBBEAD" w:rsidR="00B28847">
        <w:rPr>
          <w:rFonts w:ascii="Arial" w:hAnsi="Arial" w:eastAsia="Arial" w:cs="Arial"/>
          <w:color w:val="000000" w:themeColor="text1" w:themeTint="FF" w:themeShade="FF"/>
          <w:sz w:val="19"/>
          <w:szCs w:val="19"/>
          <w:u w:val="single"/>
        </w:rPr>
        <w:t>Litteratur - udleveres:</w:t>
      </w:r>
    </w:p>
    <w:p w:rsidR="096F1F05" w:rsidP="39DBBEAD" w:rsidRDefault="096F1F05" w14:paraId="10A77A84" w14:textId="7A829015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  <w:r w:rsidRPr="39DBBEAD" w:rsidR="096F1F05">
        <w:rPr>
          <w:rStyle w:val="x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Schantz Lauridsen &amp; Svendsen (red.) (2018).</w:t>
      </w:r>
      <w:r w:rsidRPr="39DBBEAD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 </w:t>
      </w:r>
      <w:r w:rsidRPr="39DBBEAD" w:rsidR="096F1F05">
        <w:rPr>
          <w:rStyle w:val="xnormaltextrun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Medieteori. </w:t>
      </w:r>
      <w:r w:rsidRPr="39DBBEAD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Kapitel 6</w:t>
      </w:r>
      <w:r w:rsidRPr="39DBBEAD" w:rsidR="7940FA21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, </w:t>
      </w:r>
      <w:r w:rsidRPr="39DBBEAD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 s. 113 – 129 (17 sider) </w:t>
      </w:r>
    </w:p>
    <w:p w:rsidR="4EA85E95" w:rsidP="4EA85E95" w:rsidRDefault="4EA85E95" w14:paraId="310643F6" w14:textId="6243C9B1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</w:p>
    <w:p w:rsidR="096F1F05" w:rsidP="4EA85E95" w:rsidRDefault="096F1F05" w14:paraId="197AC615" w14:textId="0BD6E66B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  <w:r w:rsidRPr="4EA85E95" w:rsidR="096F1F05">
        <w:rPr>
          <w:rStyle w:val="x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Dansk Journalistforbund (2019).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 Fagenes fremtid. 11 tendenser – som former fremtiden for fagene i kommunikations- og mediebranchen. (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47 sider.) </w:t>
      </w:r>
    </w:p>
    <w:p w:rsidR="4EA85E95" w:rsidP="4EA85E95" w:rsidRDefault="4EA85E95" w14:paraId="65ABB0E0" w14:textId="7AD18675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</w:p>
    <w:p w:rsidR="096F1F05" w:rsidP="4EA85E95" w:rsidRDefault="096F1F05" w14:paraId="066B93F3" w14:textId="3E1942DB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  <w:r w:rsidRPr="4EA85E95" w:rsidR="096F1F05">
        <w:rPr>
          <w:rStyle w:val="x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Slots- og Kulturstyrelsen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 (2017). 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Globaliseringen af den danske mediebranche. s. 5 – 10 (sammenfatning) - resten af rapporten til inspiration.</w:t>
      </w:r>
      <w:r w:rsidRPr="4EA85E95" w:rsidR="096F1F0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 </w:t>
      </w:r>
    </w:p>
    <w:p w:rsidR="4EA85E95" w:rsidP="4EA85E95" w:rsidRDefault="4EA85E95" w14:paraId="0B09128C" w14:textId="125FE97E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</w:p>
    <w:p w:rsidR="096F1F05" w:rsidP="5574D57C" w:rsidRDefault="096F1F05" w14:paraId="1AF82BBE" w14:textId="357EEB0E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  <w:r w:rsidRPr="5574D57C" w:rsidR="096F1F05">
        <w:rPr>
          <w:rStyle w:val="x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Slots- og Kulturstyrelsen </w:t>
      </w:r>
      <w:r w:rsidRPr="5574D57C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(2022)</w:t>
      </w:r>
      <w:r w:rsidRPr="5574D57C" w:rsidR="096F1F05">
        <w:rPr>
          <w:rStyle w:val="x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. </w:t>
      </w:r>
      <w:r w:rsidRPr="5574D57C" w:rsidR="096F1F05">
        <w:rPr>
          <w:rStyle w:val="xnormaltextrun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Overblik og perspektivering 2021. (s. 2-42)</w:t>
      </w:r>
      <w:r>
        <w:br/>
      </w:r>
      <w:r>
        <w:br/>
      </w:r>
      <w:r w:rsidRPr="5574D57C" w:rsidR="7905A485">
        <w:rPr>
          <w:rStyle w:val="x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Reuters Institute (202</w:t>
      </w:r>
      <w:r w:rsidRPr="5574D57C" w:rsidR="7905A485">
        <w:rPr>
          <w:rStyle w:val="x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3</w:t>
      </w:r>
      <w:r w:rsidRPr="5574D57C" w:rsidR="7905A485">
        <w:rPr>
          <w:rStyle w:val="x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):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 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Journalism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, Media, and Technology Trends and 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Predictions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 202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3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.</w:t>
      </w:r>
      <w:r>
        <w:br/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 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96F1F05" w:rsidP="5574D57C" w:rsidRDefault="096F1F05" w14:paraId="6C063F81" w14:textId="075B663A">
      <w:pPr>
        <w:pStyle w:val="Normal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  <w:r w:rsidRPr="5574D57C" w:rsidR="7905A485">
        <w:rPr>
          <w:rStyle w:val="x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Reuters Institute (202</w:t>
      </w:r>
      <w:r w:rsidRPr="5574D57C" w:rsidR="7905A485">
        <w:rPr>
          <w:rStyle w:val="x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3</w:t>
      </w:r>
      <w:r w:rsidRPr="5574D57C" w:rsidR="7905A485">
        <w:rPr>
          <w:rStyle w:val="x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):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 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Digital News Report 202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3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. 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Executive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 summary og side 7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0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-77, 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88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-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89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, 1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00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-10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1</w:t>
      </w:r>
      <w:r w:rsidRPr="5574D57C" w:rsidR="7905A48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.</w:t>
      </w:r>
      <w:r>
        <w:br/>
      </w:r>
      <w:r>
        <w:br/>
      </w:r>
      <w:r w:rsidRPr="5574D57C" w:rsidR="096F1F05">
        <w:rPr>
          <w:rStyle w:val="x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Reuters Institute (2022):</w:t>
      </w:r>
      <w:r w:rsidRPr="5574D57C" w:rsidR="096F1F0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 How Publishers </w:t>
      </w:r>
      <w:r w:rsidRPr="5574D57C" w:rsidR="096F1F0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are</w:t>
      </w:r>
      <w:r w:rsidRPr="5574D57C" w:rsidR="096F1F0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 Learning to </w:t>
      </w:r>
      <w:r w:rsidRPr="5574D57C" w:rsidR="096F1F0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Create</w:t>
      </w:r>
      <w:r w:rsidRPr="5574D57C" w:rsidR="096F1F0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 and </w:t>
      </w:r>
      <w:r w:rsidRPr="5574D57C" w:rsidR="096F1F0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Distribute</w:t>
      </w:r>
      <w:r w:rsidRPr="5574D57C" w:rsidR="096F1F0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 News on </w:t>
      </w:r>
      <w:r w:rsidRPr="5574D57C" w:rsidR="096F1F0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TikTok</w:t>
      </w:r>
      <w:r w:rsidRPr="5574D57C" w:rsidR="096F1F05">
        <w:rPr>
          <w:rStyle w:val="xeop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. </w:t>
      </w:r>
      <w:r w:rsidRPr="5574D57C" w:rsidR="096F1F0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s. 3-31</w:t>
      </w:r>
    </w:p>
    <w:p w:rsidR="4EA85E95" w:rsidP="4EA85E95" w:rsidRDefault="4EA85E95" w14:paraId="38129A80" w14:textId="27B72505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</w:p>
    <w:p w:rsidR="096F1F05" w:rsidP="4EA85E95" w:rsidRDefault="096F1F05" w14:paraId="135F3E70" w14:textId="5BC4F951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  <w:r w:rsidRPr="4EA85E95" w:rsidR="096F1F05">
        <w:rPr>
          <w:rStyle w:val="x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Linaa Jensen &amp; Tække (2018). 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Sociale medier. 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Kapitel 1+2 s. 13-43 (30 sider)</w:t>
      </w:r>
    </w:p>
    <w:p w:rsidR="4EA85E95" w:rsidP="4EA85E95" w:rsidRDefault="4EA85E95" w14:paraId="09421CB3" w14:textId="78824959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</w:p>
    <w:p w:rsidR="096F1F05" w:rsidP="4EA85E95" w:rsidRDefault="096F1F05" w14:paraId="305E2C3D" w14:textId="37035C3D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  <w:r w:rsidRPr="4EA85E95" w:rsidR="096F1F05">
        <w:rPr>
          <w:rStyle w:val="x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Bang, T., &amp; Solvoll, M. (2014):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 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Medieøkonomiske begreper. </w:t>
      </w:r>
      <w:r w:rsidRPr="4EA85E95" w:rsidR="096F1F05">
        <w:rPr>
          <w:rStyle w:val="x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I: Bang, T., &amp; Solvoll (red.), Medieøkonomi.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 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Konflikt og samspill.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 Cappelen Damm. (s. 17-35) </w:t>
      </w:r>
    </w:p>
    <w:p w:rsidR="4EA85E95" w:rsidP="4EA85E95" w:rsidRDefault="4EA85E95" w14:paraId="42F05C89" w14:textId="17A7F4EB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</w:p>
    <w:p w:rsidR="096F1F05" w:rsidP="4EA85E95" w:rsidRDefault="096F1F05" w14:paraId="71207733" w14:textId="6A1E9481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  <w:r w:rsidRPr="4EA85E95" w:rsidR="096F1F05">
        <w:rPr>
          <w:rStyle w:val="x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Doyle, G. (2013).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 </w:t>
      </w:r>
      <w:r w:rsidRPr="4EA85E95" w:rsidR="096F1F05">
        <w:rPr>
          <w:rStyle w:val="xspellingerror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Understanding Media Economics. 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2. udgave. Sage. (s. 1-18) </w:t>
      </w:r>
    </w:p>
    <w:p w:rsidR="4EA85E95" w:rsidP="4EA85E95" w:rsidRDefault="4EA85E95" w14:paraId="2D3B0D4A" w14:textId="65916327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</w:p>
    <w:p w:rsidR="096F1F05" w:rsidP="4EA85E95" w:rsidRDefault="096F1F05" w14:paraId="45C6A9CA" w14:textId="4FF7AC69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  <w:r w:rsidRPr="4EA85E95" w:rsidR="096F1F05">
        <w:rPr>
          <w:rStyle w:val="xspellingerror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Osterwalder, A., &amp; Pigneur, Y. (2009)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 xml:space="preserve">. 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Business Model Generation. Strategyzer.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 (s. 14-44) </w:t>
      </w:r>
    </w:p>
    <w:p w:rsidR="4EA85E95" w:rsidP="43B2EA40" w:rsidRDefault="4EA85E95" w14:paraId="1F1083C3" w14:textId="72868FC3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da-DK"/>
        </w:rPr>
      </w:pPr>
    </w:p>
    <w:p w:rsidR="7443C974" w:rsidP="43B2EA40" w:rsidRDefault="7443C974" w14:paraId="6C7330D2" w14:textId="676712D3">
      <w:pPr>
        <w:pStyle w:val="Normal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da-DK"/>
        </w:rPr>
      </w:pPr>
      <w:r w:rsidRPr="43B2EA40" w:rsidR="7443C9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da-DK"/>
        </w:rPr>
        <w:t xml:space="preserve">Jensen, Lars K. (2021): </w:t>
      </w:r>
      <w:r w:rsidRPr="43B2EA40" w:rsidR="7443C97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19"/>
          <w:szCs w:val="19"/>
          <w:lang w:val="da-DK"/>
        </w:rPr>
        <w:t xml:space="preserve">Jobs to </w:t>
      </w:r>
      <w:r w:rsidRPr="43B2EA40" w:rsidR="7443C97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19"/>
          <w:szCs w:val="19"/>
          <w:lang w:val="da-DK"/>
        </w:rPr>
        <w:t>be</w:t>
      </w:r>
      <w:r w:rsidRPr="43B2EA40" w:rsidR="7443C97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19"/>
          <w:szCs w:val="19"/>
          <w:lang w:val="da-DK"/>
        </w:rPr>
        <w:t xml:space="preserve"> done</w:t>
      </w:r>
      <w:r w:rsidRPr="43B2EA40" w:rsidR="7443C9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da-DK"/>
        </w:rPr>
        <w:t xml:space="preserve">. </w:t>
      </w:r>
      <w:r w:rsidRPr="43B2EA40" w:rsidR="7443C9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da-DK"/>
        </w:rPr>
        <w:t>Wilmore</w:t>
      </w:r>
      <w:r w:rsidRPr="43B2EA40" w:rsidR="7443C9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da-DK"/>
        </w:rPr>
        <w:t xml:space="preserve">. 6 sider. </w:t>
      </w:r>
    </w:p>
    <w:p w:rsidR="4EA85E95" w:rsidP="4EA85E95" w:rsidRDefault="4EA85E95" w14:paraId="6D1AEA6C" w14:textId="6EEB86C1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19"/>
          <w:szCs w:val="19"/>
          <w:lang w:val="da-DK"/>
        </w:rPr>
      </w:pPr>
    </w:p>
    <w:p w:rsidR="096F1F05" w:rsidP="4EA85E95" w:rsidRDefault="096F1F05" w14:paraId="1DE1133D" w14:textId="2B9FF8FE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  <w:r w:rsidRPr="4EA85E95" w:rsidR="096F1F05">
        <w:rPr>
          <w:rStyle w:val="x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Storsul, T., &amp; Krumsvik, A.H. (2013).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 </w:t>
      </w:r>
      <w:r w:rsidRPr="4EA85E95" w:rsidR="096F1F05">
        <w:rPr>
          <w:rStyle w:val="xspellingerror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What is Media Innovation? 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I: Storsul, T., &amp; Krumsvik, A.H. (red.), 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Media Innovations. A Multidisciplinary Study of Change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. Nordicom. (pp. 13-26) </w:t>
      </w:r>
    </w:p>
    <w:p w:rsidR="096F1F05" w:rsidP="4EA85E95" w:rsidRDefault="096F1F05" w14:paraId="489B0D25" w14:textId="68AF8115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  <w:r w:rsidRPr="4EA85E95" w:rsidR="096F1F05">
        <w:rPr>
          <w:rStyle w:val="x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 </w:t>
      </w:r>
    </w:p>
    <w:p w:rsidR="096F1F05" w:rsidP="4EA85E95" w:rsidRDefault="096F1F05" w14:paraId="374D6A21" w14:textId="2DDC19FE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</w:pPr>
      <w:r w:rsidRPr="4EA85E95" w:rsidR="096F1F05">
        <w:rPr>
          <w:rStyle w:val="x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Nelson, Jacob L. (2021): </w:t>
      </w:r>
      <w:r w:rsidRPr="4EA85E95" w:rsidR="096F1F05">
        <w:rPr>
          <w:rStyle w:val="xspellingerror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Imagined Audiences: How Journalists Perceive and Pursue the Public.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 </w:t>
      </w:r>
      <w:r w:rsidRPr="4EA85E95" w:rsidR="096F1F05">
        <w:rPr>
          <w:rStyle w:val="x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da-DK"/>
        </w:rPr>
        <w:t>Kap. 4. (s. 65-85). </w:t>
      </w:r>
    </w:p>
    <w:p w:rsidRPr="00FF52AB" w:rsidR="005776A2" w:rsidP="39DBBEAD" w:rsidRDefault="005776A2" w14:paraId="400630FE" w14:textId="32B95102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Style w:val="xeop"/>
          <w:rFonts w:ascii="Arial" w:hAnsi="Arial" w:cs="Arial"/>
          <w:sz w:val="19"/>
          <w:szCs w:val="19"/>
        </w:rPr>
      </w:pPr>
    </w:p>
    <w:p w:rsidRPr="005C7422" w:rsidR="00B28847" w:rsidP="00FF52AB" w:rsidRDefault="00B28847" w14:paraId="0D0592F0" w14:textId="1CC34762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  <w:r w:rsidRPr="005C7422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 xml:space="preserve">Eksamensforudsætninger </w:t>
      </w:r>
    </w:p>
    <w:p w:rsidRPr="00D634E3" w:rsidR="00B28847" w:rsidP="04217599" w:rsidRDefault="005C7422" w14:paraId="28552DAB" w14:textId="2EBB818C">
      <w:pPr>
        <w:pStyle w:val="Normal"/>
        <w:rPr>
          <w:rFonts w:ascii="Arial" w:hAnsi="Arial" w:cs="Arial"/>
          <w:sz w:val="19"/>
          <w:szCs w:val="19"/>
        </w:rPr>
      </w:pPr>
      <w:r w:rsidRPr="1AC21F80" w:rsidR="005C7422">
        <w:rPr>
          <w:rFonts w:ascii="Arial" w:hAnsi="Arial" w:cs="Arial"/>
          <w:sz w:val="19"/>
          <w:szCs w:val="19"/>
        </w:rPr>
        <w:t>Mødepligt: Ingen krav.</w:t>
      </w:r>
      <w:r>
        <w:br/>
      </w:r>
      <w:r w:rsidRPr="1AC21F80" w:rsidR="005C7422">
        <w:rPr>
          <w:rFonts w:ascii="Arial" w:hAnsi="Arial" w:cs="Arial"/>
          <w:sz w:val="19"/>
          <w:szCs w:val="19"/>
        </w:rPr>
        <w:t xml:space="preserve">Deltagelsespligt: Den studerende skal </w:t>
      </w:r>
      <w:r w:rsidRPr="1AC21F80" w:rsidR="385199BB">
        <w:rPr>
          <w:rFonts w:ascii="Arial" w:hAnsi="Arial" w:cs="Arial"/>
          <w:sz w:val="19"/>
          <w:szCs w:val="19"/>
        </w:rPr>
        <w:t>deltage i gruppearbejde</w:t>
      </w:r>
      <w:r w:rsidRPr="1AC21F80" w:rsidR="7A01C5E4">
        <w:rPr>
          <w:rFonts w:ascii="Arial" w:hAnsi="Arial" w:cs="Arial"/>
          <w:sz w:val="19"/>
          <w:szCs w:val="19"/>
        </w:rPr>
        <w:t xml:space="preserve"> og</w:t>
      </w:r>
      <w:r w:rsidRPr="1AC21F80" w:rsidR="04C46B72">
        <w:rPr>
          <w:rFonts w:ascii="Arial" w:hAnsi="Arial" w:cs="Arial"/>
          <w:sz w:val="19"/>
          <w:szCs w:val="19"/>
        </w:rPr>
        <w:t xml:space="preserve"> –aktiviteter </w:t>
      </w:r>
      <w:r w:rsidRPr="1AC21F80" w:rsidR="286BC973">
        <w:rPr>
          <w:rFonts w:ascii="Arial" w:hAnsi="Arial" w:cs="Arial"/>
          <w:sz w:val="19"/>
          <w:szCs w:val="19"/>
        </w:rPr>
        <w:t xml:space="preserve">samt </w:t>
      </w:r>
      <w:r w:rsidRPr="1AC21F80" w:rsidR="005C7422">
        <w:rPr>
          <w:rFonts w:ascii="Arial" w:hAnsi="Arial" w:cs="Arial"/>
          <w:sz w:val="19"/>
          <w:szCs w:val="19"/>
        </w:rPr>
        <w:t>aflevere alle forløbets obligatoriske opgaver,</w:t>
      </w:r>
      <w:r w:rsidRPr="1AC21F80" w:rsidR="00471FDF">
        <w:rPr>
          <w:rFonts w:ascii="Arial" w:hAnsi="Arial" w:cs="Arial"/>
          <w:sz w:val="19"/>
          <w:szCs w:val="19"/>
        </w:rPr>
        <w:t xml:space="preserve"> som er</w:t>
      </w:r>
      <w:r w:rsidRPr="1AC21F80" w:rsidR="00B25E02">
        <w:rPr>
          <w:rFonts w:ascii="Arial" w:hAnsi="Arial" w:cs="Arial"/>
          <w:sz w:val="19"/>
          <w:szCs w:val="19"/>
        </w:rPr>
        <w:t xml:space="preserve"> </w:t>
      </w:r>
      <w:r w:rsidRPr="1AC21F80" w:rsidR="003F60E0">
        <w:rPr>
          <w:rFonts w:ascii="Arial" w:hAnsi="Arial" w:cs="Arial"/>
          <w:sz w:val="19"/>
          <w:szCs w:val="19"/>
        </w:rPr>
        <w:t xml:space="preserve">forventningsøvelsen, </w:t>
      </w:r>
      <w:r w:rsidRPr="1AC21F80" w:rsidR="00B4792E">
        <w:rPr>
          <w:rFonts w:ascii="Arial" w:hAnsi="Arial" w:cs="Arial"/>
          <w:sz w:val="19"/>
          <w:szCs w:val="19"/>
        </w:rPr>
        <w:t xml:space="preserve">læringsstierne (6 opgaver i alt), </w:t>
      </w:r>
      <w:r w:rsidRPr="1AC21F80" w:rsidR="00C16B41">
        <w:rPr>
          <w:rFonts w:ascii="Arial" w:hAnsi="Arial" w:cs="Arial"/>
          <w:color w:val="000000" w:themeColor="text1" w:themeTint="FF" w:themeShade="FF"/>
          <w:sz w:val="19"/>
          <w:szCs w:val="19"/>
        </w:rPr>
        <w:t>opsamlingsøvelser til viden</w:t>
      </w:r>
      <w:r w:rsidRPr="1AC21F80" w:rsidR="0074563B">
        <w:rPr>
          <w:rFonts w:ascii="Arial" w:hAnsi="Arial" w:cs="Arial"/>
          <w:color w:val="000000" w:themeColor="text1" w:themeTint="FF" w:themeShade="FF"/>
          <w:sz w:val="19"/>
          <w:szCs w:val="19"/>
        </w:rPr>
        <w:t>sbanken (</w:t>
      </w:r>
      <w:r w:rsidRPr="1AC21F80" w:rsidR="00D634E3">
        <w:rPr>
          <w:rFonts w:ascii="Arial" w:hAnsi="Arial" w:cs="Arial"/>
          <w:color w:val="000000" w:themeColor="text1" w:themeTint="FF" w:themeShade="FF"/>
          <w:sz w:val="19"/>
          <w:szCs w:val="19"/>
        </w:rPr>
        <w:t>4 opgaver i alt</w:t>
      </w:r>
      <w:r w:rsidRPr="1AC21F80" w:rsidR="0074563B">
        <w:rPr>
          <w:rFonts w:ascii="Arial" w:hAnsi="Arial" w:cs="Arial"/>
          <w:color w:val="000000" w:themeColor="text1" w:themeTint="FF" w:themeShade="FF"/>
          <w:sz w:val="19"/>
          <w:szCs w:val="19"/>
        </w:rPr>
        <w:t>)</w:t>
      </w:r>
      <w:r w:rsidRPr="1AC21F80" w:rsidR="0074563B">
        <w:rPr>
          <w:rFonts w:ascii="Arial" w:hAnsi="Arial" w:cs="Arial"/>
          <w:color w:val="000000" w:themeColor="text1" w:themeTint="FF" w:themeShade="FF"/>
          <w:sz w:val="19"/>
          <w:szCs w:val="19"/>
        </w:rPr>
        <w:t>.</w:t>
      </w:r>
      <w:r w:rsidRPr="1AC21F80" w:rsidR="0074563B">
        <w:rPr>
          <w:rFonts w:ascii="Arial" w:hAnsi="Arial" w:cs="Arial"/>
          <w:sz w:val="19"/>
          <w:szCs w:val="19"/>
        </w:rPr>
        <w:t xml:space="preserve"> </w:t>
      </w:r>
      <w:r w:rsidRPr="1AC21F80" w:rsidR="57EDDED8">
        <w:rPr>
          <w:rFonts w:ascii="Arial" w:hAnsi="Arial" w:cs="Arial"/>
          <w:sz w:val="19"/>
          <w:szCs w:val="19"/>
        </w:rPr>
        <w:t>Der er krav om individuel aflevering af</w:t>
      </w:r>
      <w:r w:rsidRPr="1AC21F80" w:rsidR="0020777B">
        <w:rPr>
          <w:rFonts w:ascii="Arial" w:hAnsi="Arial" w:cs="Arial"/>
          <w:color w:val="FF0000"/>
          <w:sz w:val="19"/>
          <w:szCs w:val="19"/>
        </w:rPr>
        <w:t xml:space="preserve"> </w:t>
      </w:r>
      <w:r w:rsidRPr="1AC21F80" w:rsidR="72C91C61">
        <w:rPr>
          <w:rFonts w:ascii="Arial" w:hAnsi="Arial" w:cs="Arial"/>
          <w:color w:val="000000" w:themeColor="text1" w:themeTint="FF" w:themeShade="FF"/>
          <w:sz w:val="19"/>
          <w:szCs w:val="19"/>
        </w:rPr>
        <w:t>g</w:t>
      </w:r>
      <w:r w:rsidRPr="1AC21F80" w:rsidR="678F7C04">
        <w:rPr>
          <w:rFonts w:ascii="Arial" w:hAnsi="Arial" w:cs="Arial"/>
          <w:color w:val="000000" w:themeColor="text1" w:themeTint="FF" w:themeShade="FF"/>
          <w:sz w:val="19"/>
          <w:szCs w:val="19"/>
        </w:rPr>
        <w:t>ruppeopgaver</w:t>
      </w:r>
      <w:r w:rsidRPr="1AC21F80" w:rsidR="19AFF8AC">
        <w:rPr>
          <w:rFonts w:ascii="Arial" w:hAnsi="Arial" w:cs="Arial"/>
          <w:color w:val="000000" w:themeColor="text1" w:themeTint="FF" w:themeShade="FF"/>
          <w:sz w:val="19"/>
          <w:szCs w:val="19"/>
        </w:rPr>
        <w:t>.</w:t>
      </w:r>
      <w:r w:rsidRPr="1AC21F80" w:rsidR="678F7C04">
        <w:rPr>
          <w:rFonts w:ascii="Arial" w:hAnsi="Arial" w:cs="Arial"/>
          <w:color w:val="000000" w:themeColor="text1" w:themeTint="FF" w:themeShade="FF"/>
          <w:sz w:val="19"/>
          <w:szCs w:val="19"/>
        </w:rPr>
        <w:t xml:space="preserve"> </w:t>
      </w:r>
      <w:r w:rsidRPr="1AC21F80" w:rsidR="005C7422">
        <w:rPr>
          <w:rFonts w:ascii="Arial" w:hAnsi="Arial" w:cs="Arial"/>
          <w:color w:val="000000" w:themeColor="text1" w:themeTint="FF" w:themeShade="FF"/>
          <w:sz w:val="19"/>
          <w:szCs w:val="19"/>
        </w:rPr>
        <w:t>Opfyldt deltagelsespligt er en forudsætning for at få bedømt den afsluttende ugeopgave.</w:t>
      </w:r>
      <w:r w:rsidRPr="1AC21F80" w:rsidR="005C7422">
        <w:rPr>
          <w:rFonts w:ascii="Arial" w:hAnsi="Arial" w:cs="Arial"/>
          <w:color w:val="0F4DB2"/>
          <w:sz w:val="19"/>
          <w:szCs w:val="19"/>
        </w:rPr>
        <w:t xml:space="preserve"> </w:t>
      </w:r>
      <w:r w:rsidRPr="1AC21F80" w:rsidR="005C7422">
        <w:rPr>
          <w:rFonts w:ascii="Arial" w:hAnsi="Arial" w:cs="Arial"/>
          <w:color w:val="000000" w:themeColor="text1" w:themeTint="FF" w:themeShade="FF"/>
          <w:sz w:val="19"/>
          <w:szCs w:val="19"/>
        </w:rPr>
        <w:t> </w:t>
      </w:r>
      <w:r>
        <w:br/>
      </w:r>
      <w:r w:rsidRPr="1AC21F80" w:rsidR="005C7422">
        <w:rPr>
          <w:rFonts w:ascii="Arial" w:hAnsi="Arial" w:cs="Arial"/>
          <w:sz w:val="19"/>
          <w:szCs w:val="19"/>
        </w:rPr>
        <w:t xml:space="preserve">Afhjælpningsmuligheder: Muligheden for afhjælpning gælder kun ved lovligt fravær. Ved lovligt fravær kan der gives erstatningsopgaver jf. </w:t>
      </w:r>
      <w:r w:rsidRPr="1AC21F80" w:rsidR="042175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da-DK"/>
        </w:rPr>
        <w:t xml:space="preserve">studieordningens </w:t>
      </w:r>
      <w:r w:rsidRPr="1AC21F80" w:rsidR="005C7422">
        <w:rPr>
          <w:rFonts w:ascii="Arial" w:hAnsi="Arial" w:cs="Arial"/>
          <w:sz w:val="19"/>
          <w:szCs w:val="19"/>
        </w:rPr>
        <w:t>pkt. 6.2.2.</w:t>
      </w:r>
    </w:p>
    <w:p w:rsidRPr="005C7422" w:rsidR="00B28847" w:rsidP="00FF52AB" w:rsidRDefault="00B28847" w14:paraId="40511ACE" w14:textId="6D91B3F3">
      <w:pPr>
        <w:spacing w:after="0" w:line="240" w:lineRule="auto"/>
        <w:rPr>
          <w:rFonts w:ascii="Arial" w:hAnsi="Arial" w:eastAsia="Arial" w:cs="Arial"/>
          <w:color w:val="000000" w:themeColor="text1"/>
          <w:sz w:val="19"/>
          <w:szCs w:val="19"/>
        </w:rPr>
      </w:pPr>
      <w:r w:rsidRPr="005C7422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 xml:space="preserve">Eksamen: </w:t>
      </w:r>
    </w:p>
    <w:p w:rsidRPr="00FF52AB" w:rsidR="00B28847" w:rsidP="04690FAF" w:rsidRDefault="00B28847" w14:paraId="24BC6B12" w14:textId="6F68106D">
      <w:pPr>
        <w:spacing w:after="0" w:line="240" w:lineRule="auto"/>
        <w:rPr>
          <w:rFonts w:ascii="Arial" w:hAnsi="Arial" w:cs="Arial"/>
          <w:color w:val="000000" w:themeColor="text1"/>
          <w:sz w:val="19"/>
          <w:szCs w:val="19"/>
        </w:rPr>
      </w:pPr>
      <w:r w:rsidRPr="39DBBEAD" w:rsidR="005C7422">
        <w:rPr>
          <w:rFonts w:ascii="Arial" w:hAnsi="Arial" w:cs="Arial"/>
          <w:color w:val="000000" w:themeColor="text1" w:themeTint="FF" w:themeShade="FF"/>
          <w:sz w:val="19"/>
          <w:szCs w:val="19"/>
        </w:rPr>
        <w:t>Bedømmes efter 7-trinsskalaen, intern censur.</w:t>
      </w:r>
      <w:r w:rsidRPr="39DBBEAD" w:rsidR="005C7422">
        <w:rPr>
          <w:rFonts w:ascii="Arial" w:hAnsi="Arial" w:cs="Arial"/>
          <w:sz w:val="19"/>
          <w:szCs w:val="19"/>
        </w:rPr>
        <w:t xml:space="preserve"> Skriftlig </w:t>
      </w:r>
      <w:r w:rsidRPr="39DBBEAD" w:rsidR="005C7422">
        <w:rPr>
          <w:rFonts w:ascii="Arial" w:hAnsi="Arial" w:cs="Arial"/>
          <w:color w:val="000000" w:themeColor="text1" w:themeTint="FF" w:themeShade="FF"/>
          <w:sz w:val="19"/>
          <w:szCs w:val="19"/>
        </w:rPr>
        <w:t>opgave, der afvikles som en uge-opgave med alle hjælpemidler. Hvis opgaven løses som gruppeopgave (to personer) skal det af opgaven fremgå, hvilke dele hver studerende er ansvarlig for. Op til 40% må angives som “fælles”.</w:t>
      </w:r>
      <w:r>
        <w:br/>
      </w:r>
    </w:p>
    <w:p w:rsidRPr="00FF52AB" w:rsidR="00B28847" w:rsidP="39DBBEAD" w:rsidRDefault="6DE8C6D7" w14:paraId="6EA6F5FE" w14:textId="2BD7FE7A">
      <w:pPr>
        <w:pStyle w:val="Normal"/>
        <w:spacing w:after="0" w:line="240" w:lineRule="auto"/>
        <w:rPr>
          <w:rFonts w:ascii="Arial" w:hAnsi="Arial" w:cs="Arial"/>
          <w:sz w:val="19"/>
          <w:szCs w:val="19"/>
        </w:rPr>
      </w:pPr>
      <w:r w:rsidRPr="39DBBEAD" w:rsidR="00B28847">
        <w:rPr>
          <w:rFonts w:ascii="Arial" w:hAnsi="Arial" w:eastAsia="Arial" w:cs="Arial"/>
          <w:b w:val="1"/>
          <w:bCs w:val="1"/>
          <w:color w:val="000000" w:themeColor="text1" w:themeTint="FF" w:themeShade="FF"/>
          <w:sz w:val="19"/>
          <w:szCs w:val="19"/>
        </w:rPr>
        <w:t>Studieaktivitetsmodel:</w:t>
      </w:r>
      <w:r w:rsidR="6DE8C6D7">
        <w:drawing>
          <wp:inline wp14:editId="39DBBEAD" wp14:anchorId="5DCEE75A">
            <wp:extent cx="5543044" cy="3914775"/>
            <wp:effectExtent l="0" t="0" r="0" b="0"/>
            <wp:docPr id="167860831" name="Billede 16786083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167860831"/>
                    <pic:cNvPicPr/>
                  </pic:nvPicPr>
                  <pic:blipFill>
                    <a:blip r:embed="Rea27df1197814d6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43044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314CCF" w:rsidP="39DBBEAD" w:rsidRDefault="5E314CCF" w14:paraId="14BEB24A" w14:textId="170DA6C4">
      <w:pPr>
        <w:pStyle w:val="Normal"/>
        <w:spacing w:after="0" w:line="240" w:lineRule="auto"/>
        <w:rPr>
          <w:rFonts w:ascii="Arial" w:hAnsi="Arial" w:cs="Arial"/>
          <w:sz w:val="19"/>
          <w:szCs w:val="19"/>
        </w:rPr>
      </w:pPr>
      <w:r w:rsidRPr="39DBBEAD" w:rsidR="5E314CCF">
        <w:rPr>
          <w:rFonts w:ascii="Arial" w:hAnsi="Arial" w:cs="Arial"/>
          <w:sz w:val="19"/>
          <w:szCs w:val="19"/>
        </w:rPr>
        <w:t>HB 9.8.2023</w:t>
      </w:r>
    </w:p>
    <w:sectPr w:rsidRPr="00FF52AB" w:rsidR="00B2884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49DA"/>
    <w:multiLevelType w:val="hybridMultilevel"/>
    <w:tmpl w:val="D0C4AB7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DEB547C"/>
    <w:multiLevelType w:val="hybridMultilevel"/>
    <w:tmpl w:val="D348E98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B2A769"/>
    <w:multiLevelType w:val="hybridMultilevel"/>
    <w:tmpl w:val="2068B3D4"/>
    <w:lvl w:ilvl="0" w:tplc="3DE4DC92">
      <w:start w:val="1"/>
      <w:numFmt w:val="decimal"/>
      <w:lvlText w:val="%1."/>
      <w:lvlJc w:val="left"/>
      <w:pPr>
        <w:ind w:left="720" w:hanging="360"/>
      </w:pPr>
    </w:lvl>
    <w:lvl w:ilvl="1" w:tplc="65FE48BE">
      <w:start w:val="1"/>
      <w:numFmt w:val="lowerLetter"/>
      <w:lvlText w:val="%2."/>
      <w:lvlJc w:val="left"/>
      <w:pPr>
        <w:ind w:left="1440" w:hanging="360"/>
      </w:pPr>
    </w:lvl>
    <w:lvl w:ilvl="2" w:tplc="0820FE62">
      <w:start w:val="1"/>
      <w:numFmt w:val="lowerRoman"/>
      <w:lvlText w:val="%3."/>
      <w:lvlJc w:val="right"/>
      <w:pPr>
        <w:ind w:left="2160" w:hanging="180"/>
      </w:pPr>
    </w:lvl>
    <w:lvl w:ilvl="3" w:tplc="91C4B814">
      <w:start w:val="1"/>
      <w:numFmt w:val="decimal"/>
      <w:lvlText w:val="%4."/>
      <w:lvlJc w:val="left"/>
      <w:pPr>
        <w:ind w:left="2880" w:hanging="360"/>
      </w:pPr>
    </w:lvl>
    <w:lvl w:ilvl="4" w:tplc="5524D202">
      <w:start w:val="1"/>
      <w:numFmt w:val="lowerLetter"/>
      <w:lvlText w:val="%5."/>
      <w:lvlJc w:val="left"/>
      <w:pPr>
        <w:ind w:left="3600" w:hanging="360"/>
      </w:pPr>
    </w:lvl>
    <w:lvl w:ilvl="5" w:tplc="204E95D0">
      <w:start w:val="1"/>
      <w:numFmt w:val="lowerRoman"/>
      <w:lvlText w:val="%6."/>
      <w:lvlJc w:val="right"/>
      <w:pPr>
        <w:ind w:left="4320" w:hanging="180"/>
      </w:pPr>
    </w:lvl>
    <w:lvl w:ilvl="6" w:tplc="C652D412">
      <w:start w:val="1"/>
      <w:numFmt w:val="decimal"/>
      <w:lvlText w:val="%7."/>
      <w:lvlJc w:val="left"/>
      <w:pPr>
        <w:ind w:left="5040" w:hanging="360"/>
      </w:pPr>
    </w:lvl>
    <w:lvl w:ilvl="7" w:tplc="783E5FF2">
      <w:start w:val="1"/>
      <w:numFmt w:val="lowerLetter"/>
      <w:lvlText w:val="%8."/>
      <w:lvlJc w:val="left"/>
      <w:pPr>
        <w:ind w:left="5760" w:hanging="360"/>
      </w:pPr>
    </w:lvl>
    <w:lvl w:ilvl="8" w:tplc="28FCA8F6">
      <w:start w:val="1"/>
      <w:numFmt w:val="lowerRoman"/>
      <w:lvlText w:val="%9."/>
      <w:lvlJc w:val="right"/>
      <w:pPr>
        <w:ind w:left="6480" w:hanging="180"/>
      </w:pPr>
    </w:lvl>
  </w:abstractNum>
  <w:num w:numId="1" w16cid:durableId="631179839">
    <w:abstractNumId w:val="2"/>
  </w:num>
  <w:num w:numId="2" w16cid:durableId="1253201897">
    <w:abstractNumId w:val="1"/>
  </w:num>
  <w:num w:numId="3" w16cid:durableId="196970064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4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77CFC9"/>
    <w:rsid w:val="000C5551"/>
    <w:rsid w:val="002024D4"/>
    <w:rsid w:val="0020777B"/>
    <w:rsid w:val="003F60E0"/>
    <w:rsid w:val="0040176E"/>
    <w:rsid w:val="00456A19"/>
    <w:rsid w:val="00471FDF"/>
    <w:rsid w:val="004E1A50"/>
    <w:rsid w:val="00510B46"/>
    <w:rsid w:val="005776A2"/>
    <w:rsid w:val="005C7422"/>
    <w:rsid w:val="005D7350"/>
    <w:rsid w:val="00684A53"/>
    <w:rsid w:val="0074563B"/>
    <w:rsid w:val="00985DAE"/>
    <w:rsid w:val="009E3263"/>
    <w:rsid w:val="009FF5AD"/>
    <w:rsid w:val="00A00A7F"/>
    <w:rsid w:val="00B25E02"/>
    <w:rsid w:val="00B28847"/>
    <w:rsid w:val="00B4792E"/>
    <w:rsid w:val="00C16B41"/>
    <w:rsid w:val="00C35F5F"/>
    <w:rsid w:val="00CE0D30"/>
    <w:rsid w:val="00CE78B7"/>
    <w:rsid w:val="00D634E3"/>
    <w:rsid w:val="00F56620"/>
    <w:rsid w:val="00F60892"/>
    <w:rsid w:val="00FF31CD"/>
    <w:rsid w:val="00FF52AB"/>
    <w:rsid w:val="040F10BB"/>
    <w:rsid w:val="04217599"/>
    <w:rsid w:val="04690FAF"/>
    <w:rsid w:val="04C19C71"/>
    <w:rsid w:val="04C46B72"/>
    <w:rsid w:val="096F1F05"/>
    <w:rsid w:val="096F9661"/>
    <w:rsid w:val="0C97CD4C"/>
    <w:rsid w:val="0DF526EE"/>
    <w:rsid w:val="0EAC72F6"/>
    <w:rsid w:val="10EBE2FD"/>
    <w:rsid w:val="142917E2"/>
    <w:rsid w:val="1429C727"/>
    <w:rsid w:val="14860412"/>
    <w:rsid w:val="15020187"/>
    <w:rsid w:val="1853A20F"/>
    <w:rsid w:val="189C5897"/>
    <w:rsid w:val="19212C3C"/>
    <w:rsid w:val="19AFF8AC"/>
    <w:rsid w:val="1AAD8B1F"/>
    <w:rsid w:val="1AC21F80"/>
    <w:rsid w:val="1ECC5557"/>
    <w:rsid w:val="1F593D17"/>
    <w:rsid w:val="2125F37F"/>
    <w:rsid w:val="219674C8"/>
    <w:rsid w:val="21ED2689"/>
    <w:rsid w:val="229F74A7"/>
    <w:rsid w:val="233C1275"/>
    <w:rsid w:val="2388F6EA"/>
    <w:rsid w:val="2441950F"/>
    <w:rsid w:val="258DA8E8"/>
    <w:rsid w:val="25AEF7E8"/>
    <w:rsid w:val="2677CFC9"/>
    <w:rsid w:val="26C8B708"/>
    <w:rsid w:val="26DF54C2"/>
    <w:rsid w:val="286BC973"/>
    <w:rsid w:val="292F151D"/>
    <w:rsid w:val="29F506FF"/>
    <w:rsid w:val="2BB2C5E5"/>
    <w:rsid w:val="2C9A259F"/>
    <w:rsid w:val="2CE3724A"/>
    <w:rsid w:val="2D35227B"/>
    <w:rsid w:val="2E09F11F"/>
    <w:rsid w:val="2EEF6BCB"/>
    <w:rsid w:val="2F62D68E"/>
    <w:rsid w:val="2FAEE758"/>
    <w:rsid w:val="308B3C2C"/>
    <w:rsid w:val="3141B362"/>
    <w:rsid w:val="31E11EAB"/>
    <w:rsid w:val="320D8B03"/>
    <w:rsid w:val="331E0C3A"/>
    <w:rsid w:val="342560DE"/>
    <w:rsid w:val="34795424"/>
    <w:rsid w:val="3567C57B"/>
    <w:rsid w:val="3664EF95"/>
    <w:rsid w:val="36C2DC64"/>
    <w:rsid w:val="36C2DC64"/>
    <w:rsid w:val="385199BB"/>
    <w:rsid w:val="39DBBEAD"/>
    <w:rsid w:val="3D5096D7"/>
    <w:rsid w:val="3D7828FC"/>
    <w:rsid w:val="3EC1BE1E"/>
    <w:rsid w:val="40F9EAB1"/>
    <w:rsid w:val="42A7A1CD"/>
    <w:rsid w:val="42C5FB88"/>
    <w:rsid w:val="43937E7B"/>
    <w:rsid w:val="43966998"/>
    <w:rsid w:val="43B2EA40"/>
    <w:rsid w:val="43B73A3D"/>
    <w:rsid w:val="43FD20CD"/>
    <w:rsid w:val="45182A98"/>
    <w:rsid w:val="45FDFED9"/>
    <w:rsid w:val="464A668B"/>
    <w:rsid w:val="47E636EC"/>
    <w:rsid w:val="4901D0DB"/>
    <w:rsid w:val="49791E01"/>
    <w:rsid w:val="4A998B55"/>
    <w:rsid w:val="4ACBE350"/>
    <w:rsid w:val="4B0A14F0"/>
    <w:rsid w:val="4BD95408"/>
    <w:rsid w:val="4CCCC5AE"/>
    <w:rsid w:val="4DF78F89"/>
    <w:rsid w:val="4E3C5013"/>
    <w:rsid w:val="4EA85E95"/>
    <w:rsid w:val="51678F18"/>
    <w:rsid w:val="51E51FE8"/>
    <w:rsid w:val="53DC80DB"/>
    <w:rsid w:val="54272DB0"/>
    <w:rsid w:val="54F6A5BC"/>
    <w:rsid w:val="5534308E"/>
    <w:rsid w:val="553A6581"/>
    <w:rsid w:val="5544EED1"/>
    <w:rsid w:val="5574D57C"/>
    <w:rsid w:val="57EDDED8"/>
    <w:rsid w:val="5970D65B"/>
    <w:rsid w:val="5A0BEA7A"/>
    <w:rsid w:val="5B5792C1"/>
    <w:rsid w:val="5BBCA1B0"/>
    <w:rsid w:val="5DEF3D67"/>
    <w:rsid w:val="5E314CCF"/>
    <w:rsid w:val="5E5A15F5"/>
    <w:rsid w:val="6126DE29"/>
    <w:rsid w:val="6419A7F3"/>
    <w:rsid w:val="645E7EEB"/>
    <w:rsid w:val="675148B5"/>
    <w:rsid w:val="678F7C04"/>
    <w:rsid w:val="67961FAD"/>
    <w:rsid w:val="691CB224"/>
    <w:rsid w:val="6983EBAD"/>
    <w:rsid w:val="69E58800"/>
    <w:rsid w:val="6AC5A91D"/>
    <w:rsid w:val="6AC9E3C3"/>
    <w:rsid w:val="6D117472"/>
    <w:rsid w:val="6DE8C6D7"/>
    <w:rsid w:val="6EAD44D3"/>
    <w:rsid w:val="6F4AD455"/>
    <w:rsid w:val="6FFE292F"/>
    <w:rsid w:val="72C91C61"/>
    <w:rsid w:val="731CA194"/>
    <w:rsid w:val="73728BE2"/>
    <w:rsid w:val="73B8DA62"/>
    <w:rsid w:val="7443C974"/>
    <w:rsid w:val="7447C7F5"/>
    <w:rsid w:val="75BA15D9"/>
    <w:rsid w:val="75CB5906"/>
    <w:rsid w:val="75D7BC6F"/>
    <w:rsid w:val="7865AFA3"/>
    <w:rsid w:val="7905A485"/>
    <w:rsid w:val="7940FA21"/>
    <w:rsid w:val="7A018004"/>
    <w:rsid w:val="7A01C5E4"/>
    <w:rsid w:val="7A5F99CE"/>
    <w:rsid w:val="7A8DD26A"/>
    <w:rsid w:val="7AA6ADA2"/>
    <w:rsid w:val="7B79A7D7"/>
    <w:rsid w:val="7C102F00"/>
    <w:rsid w:val="7D11CB5A"/>
    <w:rsid w:val="7D3920C6"/>
    <w:rsid w:val="7D5CE33F"/>
    <w:rsid w:val="7ED4102D"/>
    <w:rsid w:val="7FBDB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CFC9"/>
  <w15:chartTrackingRefBased/>
  <w15:docId w15:val="{13A337B3-B98E-4AD7-AC07-62ED5EE565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Normal1" w:customStyle="1">
    <w:name w:val="Normal1"/>
    <w:basedOn w:val="Normal"/>
    <w:uiPriority w:val="1"/>
    <w:rsid w:val="00B28847"/>
    <w:rPr>
      <w:rFonts w:ascii="Arial" w:hAnsi="Arial" w:eastAsia="Arial" w:cs="Arial"/>
      <w:color w:val="000000" w:themeColor="text1"/>
      <w:lang w:eastAsia="da-DK"/>
    </w:rPr>
  </w:style>
  <w:style w:type="character" w:styleId="normaltextrun" w:customStyle="1">
    <w:name w:val="normaltextrun"/>
    <w:basedOn w:val="Standardskrifttypeiafsnit"/>
    <w:uiPriority w:val="1"/>
    <w:rsid w:val="7D3920C6"/>
  </w:style>
  <w:style w:type="character" w:styleId="eop" w:customStyle="1">
    <w:name w:val="eop"/>
    <w:basedOn w:val="Standardskrifttypeiafsnit"/>
    <w:uiPriority w:val="1"/>
    <w:rsid w:val="7D3920C6"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styleId="xparagraph" w:customStyle="1">
    <w:name w:val="x_paragraph"/>
    <w:basedOn w:val="Normal"/>
    <w:rsid w:val="00FF31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xnormaltextrun" w:customStyle="1">
    <w:name w:val="x_normaltextrun"/>
    <w:basedOn w:val="Standardskrifttypeiafsnit"/>
    <w:rsid w:val="00FF31CD"/>
  </w:style>
  <w:style w:type="character" w:styleId="xcontextualspellingandgrammarerror" w:customStyle="1">
    <w:name w:val="x_contextualspellingandgrammarerror"/>
    <w:basedOn w:val="Standardskrifttypeiafsnit"/>
    <w:rsid w:val="00FF31CD"/>
  </w:style>
  <w:style w:type="character" w:styleId="xscxw252286224" w:customStyle="1">
    <w:name w:val="x_scxw252286224"/>
    <w:basedOn w:val="Standardskrifttypeiafsnit"/>
    <w:rsid w:val="00FF31CD"/>
  </w:style>
  <w:style w:type="character" w:styleId="xeop" w:customStyle="1">
    <w:name w:val="x_eop"/>
    <w:basedOn w:val="Standardskrifttypeiafsnit"/>
    <w:rsid w:val="00FF31CD"/>
  </w:style>
  <w:style w:type="character" w:styleId="xspellingerror" w:customStyle="1">
    <w:name w:val="x_spellingerror"/>
    <w:basedOn w:val="Standardskrifttypeiafsnit"/>
    <w:rsid w:val="00FF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ea27df1197814d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3B532-7FE7-4D31-A882-F8B532EE0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F456C-7900-4B0B-9D3C-C5D29E21BB82}"/>
</file>

<file path=customXml/itemProps3.xml><?xml version="1.0" encoding="utf-8"?>
<ds:datastoreItem xmlns:ds="http://schemas.openxmlformats.org/officeDocument/2006/customXml" ds:itemID="{BB823547-52AC-4ABD-8CAD-B678DD7140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Røskva Regine Würtz (RRW) | DMJX</dc:creator>
  <keywords/>
  <dc:description/>
  <lastModifiedBy>Solveig Schmidt (SOS) | DMJX</lastModifiedBy>
  <revision>37</revision>
  <dcterms:created xsi:type="dcterms:W3CDTF">2022-08-04T08:46:00.0000000Z</dcterms:created>
  <dcterms:modified xsi:type="dcterms:W3CDTF">2023-08-09T09:02:20.8366321Z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